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A47A89">
        <w:rPr>
          <w:rFonts w:ascii="Times New Roman" w:hAnsi="Times New Roman" w:cs="Times New Roman"/>
          <w:b/>
          <w:sz w:val="28"/>
          <w:szCs w:val="28"/>
        </w:rPr>
        <w:t xml:space="preserve"> «Хим</w:t>
      </w:r>
      <w:r w:rsidR="00156BAC">
        <w:rPr>
          <w:rFonts w:ascii="Times New Roman" w:hAnsi="Times New Roman" w:cs="Times New Roman"/>
          <w:b/>
          <w:sz w:val="28"/>
          <w:szCs w:val="28"/>
        </w:rPr>
        <w:t>ия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1D8AB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="00A47A89">
              <w:rPr>
                <w:rFonts w:ascii="Times New Roman" w:hAnsi="Times New Roman" w:cs="Times New Roman"/>
                <w:bCs/>
              </w:rPr>
              <w:t>Р по учебному предмету «Хим</w:t>
            </w:r>
            <w:r w:rsidRPr="00F848BA">
              <w:rPr>
                <w:rFonts w:ascii="Times New Roman" w:hAnsi="Times New Roman" w:cs="Times New Roman"/>
                <w:bCs/>
              </w:rPr>
              <w:t>ия»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653E1B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D80C20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653E1B" w:rsidP="00D80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  <w:r w:rsidR="00D80C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653E1B" w:rsidP="00D80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0C20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-13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653E1B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A47A8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A47A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A47A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A47A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 w:rsidR="00A47A89">
        <w:rPr>
          <w:color w:val="auto"/>
          <w:sz w:val="28"/>
          <w:szCs w:val="28"/>
        </w:rPr>
        <w:t xml:space="preserve"> 55 «О</w:t>
      </w:r>
      <w:r>
        <w:rPr>
          <w:color w:val="auto"/>
          <w:sz w:val="28"/>
          <w:szCs w:val="28"/>
        </w:rPr>
        <w:t xml:space="preserve">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03.12.2020 № 744 «О внесении изменений в приказ от 01.09.2020 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595325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A47A89">
        <w:rPr>
          <w:color w:val="auto"/>
          <w:sz w:val="28"/>
          <w:szCs w:val="28"/>
        </w:rPr>
        <w:t xml:space="preserve"> по учебному предмету «Хим</w:t>
      </w:r>
      <w:r>
        <w:rPr>
          <w:color w:val="auto"/>
          <w:sz w:val="28"/>
          <w:szCs w:val="28"/>
        </w:rPr>
        <w:t>ия»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595325" w:rsidRPr="00595325" w:rsidRDefault="00301AC4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595325" w:rsidRPr="00595325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A47A89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47A89">
        <w:rPr>
          <w:b/>
          <w:color w:val="auto"/>
          <w:sz w:val="28"/>
          <w:szCs w:val="28"/>
        </w:rPr>
        <w:t xml:space="preserve">- 07.12.2020 - «Химия» (13%);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A47A89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47A89">
        <w:rPr>
          <w:color w:val="auto"/>
          <w:sz w:val="28"/>
          <w:szCs w:val="28"/>
        </w:rPr>
        <w:t>- 11.12</w:t>
      </w:r>
      <w:r w:rsidR="003E3B09" w:rsidRPr="00A47A89">
        <w:rPr>
          <w:color w:val="auto"/>
          <w:sz w:val="28"/>
          <w:szCs w:val="28"/>
        </w:rPr>
        <w:t>.2020 - «География»</w:t>
      </w:r>
      <w:r w:rsidRPr="00A47A89">
        <w:rPr>
          <w:color w:val="auto"/>
          <w:sz w:val="28"/>
          <w:szCs w:val="28"/>
        </w:rPr>
        <w:t xml:space="preserve"> (3%).</w:t>
      </w:r>
    </w:p>
    <w:p w:rsidR="008F2AB0" w:rsidRPr="00A47A89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</w:t>
      </w:r>
      <w:r w:rsidR="00A47A89">
        <w:rPr>
          <w:rFonts w:ascii="Times New Roman" w:hAnsi="Times New Roman" w:cs="Times New Roman"/>
          <w:sz w:val="28"/>
          <w:szCs w:val="28"/>
        </w:rPr>
        <w:t>вания учебного предмета «Хим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ия»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325">
        <w:rPr>
          <w:color w:val="auto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 по учебно</w:t>
      </w:r>
      <w:r w:rsidR="00A47A89">
        <w:rPr>
          <w:color w:val="auto"/>
          <w:sz w:val="28"/>
          <w:szCs w:val="28"/>
        </w:rPr>
        <w:t>му предмету «Хим</w:t>
      </w:r>
      <w:r>
        <w:rPr>
          <w:color w:val="auto"/>
          <w:sz w:val="28"/>
          <w:szCs w:val="28"/>
        </w:rPr>
        <w:t>ия» проводилась в соответствии со структурой и содержанием контрольно-измерительных материалов ЕГЭ 2020 го</w:t>
      </w:r>
      <w:r w:rsidR="00A47A89">
        <w:rPr>
          <w:color w:val="auto"/>
          <w:sz w:val="28"/>
          <w:szCs w:val="28"/>
        </w:rPr>
        <w:t>да по учебному предмету «Хим</w:t>
      </w:r>
      <w:r>
        <w:rPr>
          <w:color w:val="auto"/>
          <w:sz w:val="28"/>
          <w:szCs w:val="28"/>
        </w:rPr>
        <w:t>ия»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9532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95325">
      <w:pPr>
        <w:pStyle w:val="Default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</w:t>
      </w:r>
      <w:r w:rsidR="00A47A89">
        <w:rPr>
          <w:sz w:val="28"/>
          <w:szCs w:val="28"/>
        </w:rPr>
        <w:t>ий по учебному предмету «Хим</w:t>
      </w:r>
      <w:r>
        <w:rPr>
          <w:sz w:val="28"/>
          <w:szCs w:val="28"/>
        </w:rPr>
        <w:t xml:space="preserve">ия»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A47A89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(мах.-34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A47A89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701" w:type="dxa"/>
          </w:tcPr>
          <w:p w:rsidR="00EC474E" w:rsidRDefault="00A47A89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985" w:type="dxa"/>
          </w:tcPr>
          <w:p w:rsidR="00EC474E" w:rsidRDefault="00A47A89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17,35</w:t>
            </w:r>
          </w:p>
        </w:tc>
        <w:tc>
          <w:tcPr>
            <w:tcW w:w="2126" w:type="dxa"/>
          </w:tcPr>
          <w:p w:rsidR="00EC474E" w:rsidRDefault="00A47A89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51,02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A47A89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104</w:t>
            </w:r>
          </w:p>
        </w:tc>
        <w:tc>
          <w:tcPr>
            <w:tcW w:w="1985" w:type="dxa"/>
          </w:tcPr>
          <w:p w:rsidR="00EC474E" w:rsidRPr="00EC474E" w:rsidRDefault="00A47A89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15,65</w:t>
            </w:r>
          </w:p>
        </w:tc>
        <w:tc>
          <w:tcPr>
            <w:tcW w:w="2126" w:type="dxa"/>
          </w:tcPr>
          <w:p w:rsidR="00EC474E" w:rsidRPr="00EC474E" w:rsidRDefault="00A47A89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46,04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A47A89">
        <w:rPr>
          <w:sz w:val="28"/>
          <w:szCs w:val="28"/>
        </w:rPr>
        <w:t>балл по Сургутскому району (15,65%) ниже на 1,7</w:t>
      </w:r>
      <w:r>
        <w:rPr>
          <w:sz w:val="28"/>
          <w:szCs w:val="28"/>
        </w:rPr>
        <w:t>% ср</w:t>
      </w:r>
      <w:r w:rsidR="00A47A89">
        <w:rPr>
          <w:sz w:val="28"/>
          <w:szCs w:val="28"/>
        </w:rPr>
        <w:t>еднего балла по ХМАО-Югре (17,35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A47A89">
        <w:rPr>
          <w:sz w:val="28"/>
          <w:szCs w:val="28"/>
        </w:rPr>
        <w:t>по Сургутскому району (46,04</w:t>
      </w:r>
      <w:r w:rsidR="00572A8E">
        <w:rPr>
          <w:sz w:val="28"/>
          <w:szCs w:val="28"/>
        </w:rPr>
        <w:t>%) ниже на 5,16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BA073C">
        <w:rPr>
          <w:sz w:val="28"/>
          <w:szCs w:val="28"/>
        </w:rPr>
        <w:t xml:space="preserve"> по</w:t>
      </w:r>
      <w:r w:rsidR="00A47A89">
        <w:rPr>
          <w:sz w:val="28"/>
          <w:szCs w:val="28"/>
        </w:rPr>
        <w:t xml:space="preserve"> ХМАО-Югре (51,02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41274</wp:posOffset>
            </wp:positionV>
            <wp:extent cx="5895975" cy="176212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</w:t>
      </w:r>
      <w:r w:rsidR="00572A8E">
        <w:rPr>
          <w:sz w:val="28"/>
          <w:szCs w:val="28"/>
        </w:rPr>
        <w:t>ты по учебному предмету «Хим</w:t>
      </w:r>
      <w:r>
        <w:rPr>
          <w:sz w:val="28"/>
          <w:szCs w:val="28"/>
        </w:rPr>
        <w:t>ия»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572A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95" w:type="dxa"/>
            <w:vAlign w:val="center"/>
          </w:tcPr>
          <w:p w:rsidR="00BA073C" w:rsidRDefault="00572A8E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95" w:type="dxa"/>
          </w:tcPr>
          <w:p w:rsidR="00BA073C" w:rsidRDefault="00BA073C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1595" w:type="dxa"/>
          </w:tcPr>
          <w:p w:rsidR="00BA073C" w:rsidRDefault="00572A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1596" w:type="dxa"/>
          </w:tcPr>
          <w:p w:rsidR="00BA073C" w:rsidRDefault="00572A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</w:p>
        </w:tc>
        <w:tc>
          <w:tcPr>
            <w:tcW w:w="1596" w:type="dxa"/>
          </w:tcPr>
          <w:p w:rsidR="00BA073C" w:rsidRDefault="00572A8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572A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595" w:type="dxa"/>
          </w:tcPr>
          <w:p w:rsidR="00070159" w:rsidRDefault="00572A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595" w:type="dxa"/>
          </w:tcPr>
          <w:p w:rsidR="00070159" w:rsidRDefault="00572A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596" w:type="dxa"/>
          </w:tcPr>
          <w:p w:rsidR="00070159" w:rsidRDefault="00572A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070159" w:rsidRDefault="00572A8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070159" w:rsidTr="00CD08B1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572A8E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A709FC" w:rsidP="00CD08B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A709FC" w:rsidP="00CD08B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CD08B1" w:rsidP="00CD08B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CD08B1" w:rsidP="00CD08B1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572A8E" w:rsidTr="00BA073C">
        <w:tc>
          <w:tcPr>
            <w:tcW w:w="1595" w:type="dxa"/>
            <w:vAlign w:val="center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595" w:type="dxa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28,97</w:t>
            </w:r>
          </w:p>
        </w:tc>
        <w:tc>
          <w:tcPr>
            <w:tcW w:w="1595" w:type="dxa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34,46</w:t>
            </w:r>
          </w:p>
        </w:tc>
        <w:tc>
          <w:tcPr>
            <w:tcW w:w="1596" w:type="dxa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19,42</w:t>
            </w:r>
          </w:p>
        </w:tc>
        <w:tc>
          <w:tcPr>
            <w:tcW w:w="1596" w:type="dxa"/>
          </w:tcPr>
          <w:p w:rsidR="00572A8E" w:rsidRDefault="00572A8E" w:rsidP="00572A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20,14</w:t>
            </w:r>
          </w:p>
        </w:tc>
      </w:tr>
      <w:tr w:rsidR="00572A8E" w:rsidTr="00CD08B1">
        <w:tc>
          <w:tcPr>
            <w:tcW w:w="1595" w:type="dxa"/>
            <w:vAlign w:val="center"/>
          </w:tcPr>
          <w:p w:rsidR="00572A8E" w:rsidRPr="00070159" w:rsidRDefault="00572A8E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572A8E" w:rsidRPr="00070159" w:rsidRDefault="00572A8E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572A8E" w:rsidRPr="00070159" w:rsidRDefault="00CD08B1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38,46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572A8E" w:rsidRPr="00070159" w:rsidRDefault="00CD08B1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36,61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572A8E" w:rsidRPr="00070159" w:rsidRDefault="00CD08B1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14,42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572A8E" w:rsidRPr="00070159" w:rsidRDefault="00CD08B1" w:rsidP="00572A8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10,51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572A8E">
        <w:rPr>
          <w:sz w:val="28"/>
          <w:szCs w:val="28"/>
        </w:rPr>
        <w:t>от 74</w:t>
      </w:r>
      <w:r w:rsidR="006E18CF">
        <w:rPr>
          <w:sz w:val="28"/>
          <w:szCs w:val="28"/>
        </w:rPr>
        <w:t>%</w:t>
      </w:r>
      <w:r w:rsidR="00572A8E">
        <w:rPr>
          <w:sz w:val="28"/>
          <w:szCs w:val="28"/>
        </w:rPr>
        <w:t xml:space="preserve"> баллов и более (от 25 до 34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825" w:type="dxa"/>
          </w:tcPr>
          <w:p w:rsidR="007A3723" w:rsidRPr="00F03F3C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7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1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Default="00572A8E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17,37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572A8E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825" w:type="dxa"/>
          </w:tcPr>
          <w:p w:rsidR="007A3723" w:rsidRPr="00F03F3C" w:rsidRDefault="00572A8E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="007A37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="00EB18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A3723" w:rsidRPr="00EC474E" w:rsidRDefault="00572A8E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15,65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7A3723" w:rsidRPr="00F03F3C" w:rsidTr="00EB18CC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7A3723" w:rsidRPr="007A3723" w:rsidRDefault="00572A8E" w:rsidP="00E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  <w:vAlign w:val="center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  <w:vAlign w:val="center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7A3723" w:rsidRPr="007A3723" w:rsidRDefault="00572A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7A3723" w:rsidRPr="007A3723" w:rsidRDefault="00592875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</w:tbl>
    <w:p w:rsidR="00595325" w:rsidRDefault="00595325" w:rsidP="00291F87">
      <w:pPr>
        <w:pStyle w:val="Default"/>
        <w:jc w:val="both"/>
        <w:rPr>
          <w:bCs/>
          <w:color w:val="auto"/>
          <w:sz w:val="28"/>
          <w:szCs w:val="28"/>
        </w:rPr>
      </w:pPr>
    </w:p>
    <w:p w:rsidR="00595325" w:rsidRDefault="00595325" w:rsidP="00291F87">
      <w:pPr>
        <w:pStyle w:val="Default"/>
        <w:jc w:val="both"/>
        <w:rPr>
          <w:bCs/>
          <w:color w:val="auto"/>
          <w:sz w:val="28"/>
          <w:szCs w:val="28"/>
        </w:rPr>
      </w:pPr>
    </w:p>
    <w:p w:rsidR="00291F87" w:rsidRPr="00CB3C9B" w:rsidRDefault="00CB3C9B" w:rsidP="005953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lastRenderedPageBreak/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592875" w:rsidRDefault="00291F87" w:rsidP="005953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92875">
        <w:rPr>
          <w:bCs/>
          <w:color w:val="auto"/>
          <w:sz w:val="28"/>
          <w:szCs w:val="28"/>
        </w:rPr>
        <w:t>- наивысший балл по Сургутскому району</w:t>
      </w:r>
      <w:r w:rsidR="00592875" w:rsidRPr="00592875">
        <w:rPr>
          <w:bCs/>
          <w:color w:val="auto"/>
          <w:sz w:val="28"/>
          <w:szCs w:val="28"/>
        </w:rPr>
        <w:t xml:space="preserve"> - 28 баллов (МБОУ «Угут</w:t>
      </w:r>
      <w:r w:rsidR="00CB3C9B" w:rsidRPr="00592875">
        <w:rPr>
          <w:bCs/>
          <w:color w:val="auto"/>
          <w:sz w:val="28"/>
          <w:szCs w:val="28"/>
        </w:rPr>
        <w:t>ская СОШ»);</w:t>
      </w:r>
    </w:p>
    <w:p w:rsidR="007119F3" w:rsidRPr="00592875" w:rsidRDefault="00CB3C9B" w:rsidP="005953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92875">
        <w:rPr>
          <w:bCs/>
          <w:color w:val="auto"/>
          <w:sz w:val="28"/>
          <w:szCs w:val="28"/>
        </w:rPr>
        <w:t>- наименьший ба</w:t>
      </w:r>
      <w:r w:rsidR="00592875" w:rsidRPr="00592875">
        <w:rPr>
          <w:bCs/>
          <w:color w:val="auto"/>
          <w:sz w:val="28"/>
          <w:szCs w:val="28"/>
        </w:rPr>
        <w:t>лл по Сургутскому району – 7</w:t>
      </w:r>
      <w:r w:rsidRPr="00592875">
        <w:rPr>
          <w:bCs/>
          <w:color w:val="auto"/>
          <w:sz w:val="28"/>
          <w:szCs w:val="28"/>
        </w:rPr>
        <w:t xml:space="preserve"> балл</w:t>
      </w:r>
      <w:r w:rsidR="00592875" w:rsidRPr="00592875">
        <w:rPr>
          <w:bCs/>
          <w:color w:val="auto"/>
          <w:sz w:val="28"/>
          <w:szCs w:val="28"/>
        </w:rPr>
        <w:t>ов (МБОУ «Ульт-Ягунская СОШ</w:t>
      </w:r>
      <w:r w:rsidR="00E677A0" w:rsidRPr="00592875">
        <w:rPr>
          <w:bCs/>
          <w:color w:val="auto"/>
          <w:sz w:val="28"/>
          <w:szCs w:val="28"/>
        </w:rPr>
        <w:t>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592875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73D0A" wp14:editId="56AD97AD">
                <wp:simplePos x="0" y="0"/>
                <wp:positionH relativeFrom="column">
                  <wp:posOffset>4682490</wp:posOffset>
                </wp:positionH>
                <wp:positionV relativeFrom="paragraph">
                  <wp:posOffset>374015</wp:posOffset>
                </wp:positionV>
                <wp:extent cx="695325" cy="666750"/>
                <wp:effectExtent l="0" t="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1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8.7pt;margin-top:29.45pt;width:54.7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D2EB" wp14:editId="27254F39">
                <wp:simplePos x="0" y="0"/>
                <wp:positionH relativeFrom="column">
                  <wp:posOffset>254000</wp:posOffset>
                </wp:positionH>
                <wp:positionV relativeFrom="paragraph">
                  <wp:posOffset>1203325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33A30" id="Прямая соединительная линия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94.75pt" to="476.3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" strokecolor="red" strokeweight="1.5pt">
                <v:stroke joinstyle="miter"/>
              </v:lin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9180" cy="3990975"/>
            <wp:effectExtent l="0" t="0" r="139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684548">
        <w:rPr>
          <w:color w:val="auto"/>
          <w:sz w:val="28"/>
          <w:szCs w:val="28"/>
        </w:rPr>
        <w:t>в ОО составила – 21 балл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en-US"/>
        </w:rPr>
        <w:t>min</w:t>
      </w:r>
      <w:r w:rsidR="00684548">
        <w:rPr>
          <w:color w:val="auto"/>
          <w:sz w:val="28"/>
          <w:szCs w:val="28"/>
        </w:rPr>
        <w:t xml:space="preserve"> - 7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684548">
        <w:rPr>
          <w:color w:val="auto"/>
          <w:sz w:val="28"/>
          <w:szCs w:val="28"/>
        </w:rPr>
        <w:t xml:space="preserve"> – 28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684548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2,83 балла (город Покачи</w:t>
      </w:r>
      <w:r w:rsidR="000E3984">
        <w:rPr>
          <w:color w:val="auto"/>
          <w:sz w:val="28"/>
          <w:szCs w:val="28"/>
        </w:rPr>
        <w:t>);</w:t>
      </w:r>
    </w:p>
    <w:p w:rsidR="000E3984" w:rsidRPr="007770DE" w:rsidRDefault="00684548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24,4 балла (город Нефтеюганск</w:t>
      </w:r>
      <w:r w:rsidR="000E3984">
        <w:rPr>
          <w:color w:val="auto"/>
          <w:sz w:val="28"/>
          <w:szCs w:val="28"/>
        </w:rPr>
        <w:t>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7"/>
        <w:gridCol w:w="1276"/>
      </w:tblGrid>
      <w:tr w:rsidR="00326063" w:rsidRPr="00070159" w:rsidTr="00684548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7087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76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684548" w:rsidRPr="00070159" w:rsidTr="00A4617F">
        <w:trPr>
          <w:trHeight w:val="167"/>
        </w:trPr>
        <w:tc>
          <w:tcPr>
            <w:tcW w:w="1101" w:type="dxa"/>
            <w:vAlign w:val="center"/>
          </w:tcPr>
          <w:p w:rsidR="00684548" w:rsidRPr="00070159" w:rsidRDefault="00684548" w:rsidP="0068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Строение электронных оболочек атомов элементов первых четырёх периодов: s-, p- и d-элементы. </w:t>
            </w:r>
          </w:p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Электронная конфигурация атома. </w:t>
            </w:r>
          </w:p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Основное и возбуждённое состояния атомов </w:t>
            </w:r>
          </w:p>
        </w:tc>
        <w:tc>
          <w:tcPr>
            <w:tcW w:w="1276" w:type="dxa"/>
            <w:vAlign w:val="center"/>
          </w:tcPr>
          <w:p w:rsidR="00684548" w:rsidRPr="00684548" w:rsidRDefault="00684548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>46.15</w:t>
            </w:r>
          </w:p>
        </w:tc>
      </w:tr>
      <w:tr w:rsidR="00684548" w:rsidRPr="00326063" w:rsidTr="00A4617F">
        <w:trPr>
          <w:trHeight w:val="167"/>
        </w:trPr>
        <w:tc>
          <w:tcPr>
            <w:tcW w:w="1101" w:type="dxa"/>
            <w:vAlign w:val="center"/>
          </w:tcPr>
          <w:p w:rsidR="00684548" w:rsidRPr="00326063" w:rsidRDefault="00684548" w:rsidP="0068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Закономерности изменения химических свойств элементов и их соединений по периодам и группам. </w:t>
            </w:r>
          </w:p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</w:t>
            </w:r>
          </w:p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</w:t>
            </w:r>
          </w:p>
          <w:p w:rsidR="00684548" w:rsidRPr="00684548" w:rsidRDefault="00684548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 xml:space="preserve"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 </w:t>
            </w:r>
          </w:p>
        </w:tc>
        <w:tc>
          <w:tcPr>
            <w:tcW w:w="1276" w:type="dxa"/>
            <w:vAlign w:val="center"/>
          </w:tcPr>
          <w:p w:rsidR="00684548" w:rsidRPr="00684548" w:rsidRDefault="00684548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548">
              <w:rPr>
                <w:rFonts w:ascii="Times New Roman" w:hAnsi="Times New Roman" w:cs="Times New Roman"/>
                <w:color w:val="000000"/>
              </w:rPr>
              <w:t>61.88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62.76</w:t>
            </w:r>
          </w:p>
        </w:tc>
      </w:tr>
      <w:tr w:rsidR="00A4617F" w:rsidRPr="00326063" w:rsidTr="00A4617F">
        <w:trPr>
          <w:trHeight w:val="523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57.87</w:t>
            </w:r>
          </w:p>
        </w:tc>
      </w:tr>
      <w:tr w:rsidR="00A4617F" w:rsidRPr="00326063" w:rsidTr="00A4617F">
        <w:trPr>
          <w:trHeight w:val="661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Классификация неорганических веществ. Номенклатура неорганических веществ (тривиальная и международная)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65.33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простых веществ–металлов: щелочных, щелочноземельных, магния, алюминия; переходных металлов: меди, цинка, хрома, железа. Характерные химические свойства простых веществ–неметаллов: водорода, галогенов, кислорода, серы, азота, фосфора, углерода, кремния. Характерные химические свойства оксидов: основных, амфотерных, кислотных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70.30</w:t>
            </w:r>
          </w:p>
        </w:tc>
      </w:tr>
      <w:tr w:rsidR="00A4617F" w:rsidRPr="00326063" w:rsidTr="00A4617F">
        <w:trPr>
          <w:trHeight w:val="385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основных;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73.19</w:t>
            </w:r>
          </w:p>
        </w:tc>
      </w:tr>
      <w:tr w:rsidR="00A4617F" w:rsidRPr="00326063" w:rsidTr="00A4617F">
        <w:trPr>
          <w:trHeight w:val="385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неорганических веществ: – простых веществ–металлов: щелочных, щелочноземельных, магния, алюминия, переходных металлов (меди, цинка, хрома, железа); – простых веществ–неметаллов: водорода, галогенов, кислорода, серы, азота, фосфора, углерода, кремния; – оксидов: основных, амфотерных, кислотных; – оснований и амфотерных гидроксидов; – кислот; – солей: средних, кислых, основных; комплексных (на примере гидроксосоединений алюминия и цинка)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35.55</w:t>
            </w:r>
          </w:p>
        </w:tc>
      </w:tr>
      <w:tr w:rsidR="00A4617F" w:rsidRPr="00326063" w:rsidTr="00A4617F">
        <w:trPr>
          <w:trHeight w:val="523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неорганических веществ: простых веществ–металлов: щелочных, щелочноземельных, магния, алюминия, переходных металлов (меди, цинка, хрома, железа); – простых веществ–неметаллов: водорода, галогенов, кислорода, серы, азота, фосфора, углерода, кремния; – оксидов: основных, амфотерных, кислотных; – оснований и амфотерных гидроксидов; кислот; солей: средних, кислых, </w:t>
            </w:r>
            <w:r w:rsidRPr="00A4617F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основных; комплексных (на примере гидроксосоединений алюминия и цинка)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lastRenderedPageBreak/>
              <w:t>32.26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Взаимосвязь неорганических веществ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77.41</w:t>
            </w:r>
          </w:p>
        </w:tc>
      </w:tr>
      <w:tr w:rsidR="00A4617F" w:rsidRPr="00326063" w:rsidTr="00A4617F">
        <w:trPr>
          <w:trHeight w:val="385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Классификация органических веществ. Номенклатура органических веществ (тривиальная и международная)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68.38</w:t>
            </w:r>
          </w:p>
        </w:tc>
      </w:tr>
      <w:tr w:rsidR="00A4617F" w:rsidRPr="00326063" w:rsidTr="00A4617F">
        <w:trPr>
          <w:trHeight w:val="167"/>
        </w:trPr>
        <w:tc>
          <w:tcPr>
            <w:tcW w:w="1101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6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Функциональная группа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46.55</w:t>
            </w:r>
          </w:p>
        </w:tc>
      </w:tr>
      <w:tr w:rsidR="00A4617F" w:rsidRPr="00326063" w:rsidTr="00A4617F">
        <w:trPr>
          <w:trHeight w:val="385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Основные способы получения углеводородов (в лаборатории)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44.54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предельных одноатомных и многоатомных спиртов, фенола.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альдегидов, предельных карбоновых кислот, сложных эфиров.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Основные способы получения кислородсодержащих органических соединений (в лаборатории).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38.92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азотсодержащих органических соединений: аминов и аминокислот.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Важнейшие способы получения аминов и аминокислот.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Биологически важные вещества: жиры, углеводы (моносахариды, дисахариды, полисахариды), белки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37.24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Важнейшие способы получения углеводородов. Ионный (правило В.В. Марковникова) и радикальные механизмы реакций в органической химии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29.29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37.96</w:t>
            </w:r>
          </w:p>
        </w:tc>
      </w:tr>
      <w:tr w:rsidR="00A4617F" w:rsidRPr="00326063" w:rsidTr="00A4617F">
        <w:trPr>
          <w:trHeight w:val="24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Взаимосвязь углеводородов, кислородсодержащих и азотсодержащих органических соединений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67.90</w:t>
            </w:r>
          </w:p>
        </w:tc>
      </w:tr>
      <w:tr w:rsidR="00A4617F" w:rsidRPr="00326063" w:rsidTr="00A4617F">
        <w:trPr>
          <w:trHeight w:val="799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Классификация химических реакций в неорганической и органической химии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56.98</w:t>
            </w:r>
          </w:p>
        </w:tc>
      </w:tr>
      <w:tr w:rsidR="00A4617F" w:rsidRPr="00326063" w:rsidTr="00A4617F">
        <w:trPr>
          <w:trHeight w:val="167"/>
        </w:trPr>
        <w:tc>
          <w:tcPr>
            <w:tcW w:w="1101" w:type="dxa"/>
            <w:vAlign w:val="center"/>
          </w:tcPr>
          <w:p w:rsidR="00A4617F" w:rsidRPr="00326063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Скорость реакции, её зависимость от различных факторов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48.07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Реакции окислительно-восстановительные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54.98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Качественные реакции на неорганические вещества и ионы. Качественные реакции органических соединений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33.83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Правила работы в лаборатории. Лабораторная посуда и оборудование.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Правила безопасности при работе с едкими, горючими и токсичными веществами, средствами бытовой химии.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Научные методы исследования химических веществ и превращений.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Методы разделения смесей и очистки веществ. Понятие о металлургии: общие способы получения металлов.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Высокомолекулярные соединения. </w:t>
            </w:r>
          </w:p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Реакции полимеризации и поликонденсации. Полимеры. Пластмассы, волокна, каучуки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55.30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Расчёты с использованием понятия «массовая доля вещества в растворе»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56.82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Расчёты объёмных отношений газов при химических реакциях. Расчёты по термохимическим уравнениям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41.09</w:t>
            </w:r>
          </w:p>
        </w:tc>
      </w:tr>
      <w:tr w:rsidR="00A4617F" w:rsidRPr="00070159" w:rsidTr="00A4617F">
        <w:trPr>
          <w:trHeight w:val="167"/>
        </w:trPr>
        <w:tc>
          <w:tcPr>
            <w:tcW w:w="1101" w:type="dxa"/>
            <w:vAlign w:val="center"/>
          </w:tcPr>
          <w:p w:rsidR="00A4617F" w:rsidRPr="00070159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7" w:type="dxa"/>
          </w:tcPr>
          <w:p w:rsidR="00A4617F" w:rsidRPr="00A4617F" w:rsidRDefault="00A4617F" w:rsidP="0059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 xml:space="preserve">Расчёты массы вещества или объема газов по известному количеству вещества, массе или объёму одного из участвующих в реакции веществ </w:t>
            </w:r>
          </w:p>
        </w:tc>
        <w:tc>
          <w:tcPr>
            <w:tcW w:w="1276" w:type="dxa"/>
            <w:vAlign w:val="center"/>
          </w:tcPr>
          <w:p w:rsidR="00A4617F" w:rsidRPr="00A4617F" w:rsidRDefault="00A4617F" w:rsidP="00A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7F">
              <w:rPr>
                <w:rFonts w:ascii="Times New Roman" w:hAnsi="Times New Roman" w:cs="Times New Roman"/>
                <w:color w:val="000000"/>
              </w:rPr>
              <w:t>46.55</w:t>
            </w:r>
          </w:p>
        </w:tc>
      </w:tr>
    </w:tbl>
    <w:p w:rsidR="00326063" w:rsidRDefault="00326063" w:rsidP="00326063">
      <w:pPr>
        <w:pStyle w:val="Default"/>
      </w:pPr>
    </w:p>
    <w:p w:rsidR="00A4617F" w:rsidRPr="00A4617F" w:rsidRDefault="00326063" w:rsidP="00A4617F">
      <w:pPr>
        <w:pStyle w:val="Default"/>
        <w:spacing w:after="87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</w:t>
      </w:r>
      <w:r w:rsidR="00684548">
        <w:rPr>
          <w:sz w:val="28"/>
          <w:szCs w:val="28"/>
        </w:rPr>
        <w:t>ий по учебному предмету «Хим</w:t>
      </w:r>
      <w:r w:rsidRPr="00326063">
        <w:rPr>
          <w:sz w:val="28"/>
          <w:szCs w:val="28"/>
        </w:rPr>
        <w:t xml:space="preserve">ия»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751C93">
        <w:rPr>
          <w:b/>
          <w:sz w:val="28"/>
          <w:szCs w:val="28"/>
        </w:rPr>
        <w:t xml:space="preserve">успешнее </w:t>
      </w:r>
      <w:r w:rsidRPr="00326063">
        <w:rPr>
          <w:sz w:val="28"/>
          <w:szCs w:val="28"/>
        </w:rPr>
        <w:t xml:space="preserve">обучающиеся </w:t>
      </w:r>
      <w:r w:rsidRPr="00751C93">
        <w:rPr>
          <w:b/>
          <w:sz w:val="28"/>
          <w:szCs w:val="28"/>
        </w:rPr>
        <w:t>справились с заданиями</w:t>
      </w:r>
      <w:r w:rsidRPr="00326063">
        <w:rPr>
          <w:sz w:val="28"/>
          <w:szCs w:val="28"/>
        </w:rPr>
        <w:t xml:space="preserve">: </w:t>
      </w:r>
    </w:p>
    <w:p w:rsidR="00A4617F" w:rsidRPr="00A4617F" w:rsidRDefault="00A4617F" w:rsidP="00A4617F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10,</w:t>
      </w:r>
      <w:r w:rsidRPr="00A4617F">
        <w:rPr>
          <w:sz w:val="28"/>
          <w:szCs w:val="28"/>
        </w:rPr>
        <w:t xml:space="preserve"> проверяющее знания взаимосвязи неорганических веществ. Процент выполнения составил – 77,41%; </w:t>
      </w:r>
    </w:p>
    <w:p w:rsidR="00A4617F" w:rsidRPr="00A4617F" w:rsidRDefault="00A4617F" w:rsidP="00A4617F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 w:rsidR="00751C93">
        <w:rPr>
          <w:sz w:val="28"/>
          <w:szCs w:val="28"/>
        </w:rPr>
        <w:t xml:space="preserve"> 7, п</w:t>
      </w:r>
      <w:r w:rsidRPr="00A4617F">
        <w:rPr>
          <w:sz w:val="28"/>
          <w:szCs w:val="28"/>
        </w:rPr>
        <w:t xml:space="preserve">роверяющее знания характерных химических свойств оснований и амфотерных гидроксидов. Характерные химические свойства кислот. Характерные химические свойства солей: средних, кислых, основных;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обмена. Процент выполнения составил – 73,19%; </w:t>
      </w:r>
    </w:p>
    <w:p w:rsidR="00A4617F" w:rsidRPr="00A4617F" w:rsidRDefault="00A4617F" w:rsidP="00A4617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 w:rsidR="00751C93">
        <w:rPr>
          <w:sz w:val="28"/>
          <w:szCs w:val="28"/>
        </w:rPr>
        <w:t xml:space="preserve"> 6,</w:t>
      </w:r>
      <w:r w:rsidRPr="00A4617F">
        <w:rPr>
          <w:sz w:val="28"/>
          <w:szCs w:val="28"/>
        </w:rPr>
        <w:t xml:space="preserve"> проверяющее знания характерных химических свойств простых веществ–металлов: щелочных, щелочноземельных, магния, алюминия; переходных металлов: меди, цинка, хрома, железа. Характерные химические свойства простых веществ–неметаллов: водорода, галогенов, кислорода, серы, азота, фосфора, углерода, кремния. Характерные химические свойства оксидов: основных, амфотерных, кислотных. Процент выполнения составил – 70,30%. </w:t>
      </w:r>
    </w:p>
    <w:p w:rsidR="00751C93" w:rsidRDefault="00A4617F" w:rsidP="00A4617F">
      <w:pPr>
        <w:pStyle w:val="Default"/>
        <w:ind w:firstLine="567"/>
        <w:jc w:val="both"/>
        <w:rPr>
          <w:sz w:val="28"/>
          <w:szCs w:val="28"/>
        </w:rPr>
      </w:pPr>
      <w:r w:rsidRPr="00751C93">
        <w:rPr>
          <w:b/>
          <w:sz w:val="28"/>
          <w:szCs w:val="28"/>
        </w:rPr>
        <w:t>Затруднения</w:t>
      </w:r>
      <w:r w:rsidRPr="00A4617F">
        <w:rPr>
          <w:sz w:val="28"/>
          <w:szCs w:val="28"/>
        </w:rPr>
        <w:t xml:space="preserve"> у обучающихся </w:t>
      </w:r>
      <w:r w:rsidR="00751C93">
        <w:rPr>
          <w:b/>
          <w:sz w:val="28"/>
          <w:szCs w:val="28"/>
        </w:rPr>
        <w:t>вызвали</w:t>
      </w:r>
      <w:r w:rsidRPr="00A4617F">
        <w:rPr>
          <w:sz w:val="28"/>
          <w:szCs w:val="28"/>
        </w:rPr>
        <w:t xml:space="preserve"> зад</w:t>
      </w:r>
      <w:r w:rsidR="00751C93">
        <w:rPr>
          <w:sz w:val="28"/>
          <w:szCs w:val="28"/>
        </w:rPr>
        <w:t>ания:</w:t>
      </w:r>
    </w:p>
    <w:p w:rsidR="00751C93" w:rsidRDefault="00751C93" w:rsidP="00A4617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17F"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4617F" w:rsidRPr="00A4617F">
        <w:rPr>
          <w:sz w:val="28"/>
          <w:szCs w:val="28"/>
        </w:rPr>
        <w:t>16, проверяющее знания характерных химических свойств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механизмы реакций в органической химии. Процент выполнения данного задания составил</w:t>
      </w:r>
      <w:r>
        <w:rPr>
          <w:sz w:val="28"/>
          <w:szCs w:val="28"/>
        </w:rPr>
        <w:t xml:space="preserve"> – 29,29%;</w:t>
      </w:r>
    </w:p>
    <w:p w:rsidR="00A4617F" w:rsidRPr="00A4617F" w:rsidRDefault="00751C93" w:rsidP="00A4617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4617F" w:rsidRPr="00A4617F">
        <w:rPr>
          <w:sz w:val="28"/>
          <w:szCs w:val="28"/>
        </w:rPr>
        <w:t xml:space="preserve">адание № 22, проверяющее знание качественных реакций на неорганические вещества и ионы. Качественные реакции органических соединений, процент выполнения составил 33,8№%. </w:t>
      </w:r>
    </w:p>
    <w:p w:rsidR="00A80D3C" w:rsidRPr="00A4617F" w:rsidRDefault="00A4617F" w:rsidP="00A4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17F">
        <w:rPr>
          <w:rFonts w:ascii="Times New Roman" w:hAnsi="Times New Roman" w:cs="Times New Roman"/>
          <w:sz w:val="28"/>
          <w:szCs w:val="28"/>
        </w:rPr>
        <w:t>При составлении методического анализа, учителям предметникам необходимо обратить внимание на % выполнения заданий №</w:t>
      </w:r>
      <w:r w:rsidR="00751C93">
        <w:rPr>
          <w:rFonts w:ascii="Times New Roman" w:hAnsi="Times New Roman" w:cs="Times New Roman"/>
          <w:sz w:val="28"/>
          <w:szCs w:val="28"/>
        </w:rPr>
        <w:t xml:space="preserve"> </w:t>
      </w:r>
      <w:r w:rsidRPr="00A4617F">
        <w:rPr>
          <w:rFonts w:ascii="Times New Roman" w:hAnsi="Times New Roman" w:cs="Times New Roman"/>
          <w:sz w:val="28"/>
          <w:szCs w:val="28"/>
        </w:rPr>
        <w:t>8,9,14, 15,.17, с решением данных заданий обучающиеся справились хуже.</w:t>
      </w:r>
    </w:p>
    <w:p w:rsidR="00684548" w:rsidRDefault="00684548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A709FC" w:rsidRDefault="00070159" w:rsidP="007D2C0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9FC">
        <w:rPr>
          <w:b/>
          <w:bCs/>
          <w:color w:val="auto"/>
          <w:sz w:val="28"/>
          <w:szCs w:val="28"/>
        </w:rPr>
        <w:t>3</w:t>
      </w:r>
      <w:r w:rsidR="009C41C9" w:rsidRPr="00A709FC">
        <w:rPr>
          <w:b/>
          <w:bCs/>
          <w:color w:val="auto"/>
          <w:sz w:val="28"/>
          <w:szCs w:val="28"/>
        </w:rPr>
        <w:t xml:space="preserve">. </w:t>
      </w:r>
      <w:r w:rsidR="00BD28F1" w:rsidRPr="00A709FC">
        <w:rPr>
          <w:b/>
          <w:bCs/>
          <w:color w:val="auto"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 w:rsidRPr="00A709FC">
        <w:rPr>
          <w:color w:val="auto"/>
          <w:sz w:val="28"/>
          <w:szCs w:val="28"/>
        </w:rPr>
        <w:t>1</w:t>
      </w:r>
      <w:r w:rsidR="009D6CE1" w:rsidRPr="00A709FC">
        <w:rPr>
          <w:color w:val="auto"/>
          <w:sz w:val="28"/>
          <w:szCs w:val="28"/>
        </w:rPr>
        <w:t>. В РДР</w:t>
      </w:r>
      <w:r w:rsidR="00C31663" w:rsidRPr="00A709FC">
        <w:rPr>
          <w:color w:val="auto"/>
          <w:sz w:val="28"/>
          <w:szCs w:val="28"/>
        </w:rPr>
        <w:t xml:space="preserve"> по </w:t>
      </w:r>
      <w:r w:rsidR="00C31663" w:rsidRPr="007D2C0A">
        <w:rPr>
          <w:sz w:val="28"/>
          <w:szCs w:val="28"/>
        </w:rPr>
        <w:t>учеб</w:t>
      </w:r>
      <w:r w:rsidR="00A709FC">
        <w:rPr>
          <w:sz w:val="28"/>
          <w:szCs w:val="28"/>
        </w:rPr>
        <w:t>ному предмету «Хим</w:t>
      </w:r>
      <w:r w:rsidR="009D6CE1">
        <w:rPr>
          <w:sz w:val="28"/>
          <w:szCs w:val="28"/>
        </w:rPr>
        <w:t xml:space="preserve">ия»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A709FC">
        <w:rPr>
          <w:sz w:val="28"/>
          <w:szCs w:val="28"/>
        </w:rPr>
        <w:t>104</w:t>
      </w:r>
      <w:r w:rsidR="00C31663" w:rsidRPr="007D2C0A">
        <w:rPr>
          <w:sz w:val="28"/>
          <w:szCs w:val="28"/>
        </w:rPr>
        <w:t xml:space="preserve"> обучающихся</w:t>
      </w:r>
      <w:r w:rsidR="009D6CE1">
        <w:rPr>
          <w:sz w:val="28"/>
          <w:szCs w:val="28"/>
        </w:rPr>
        <w:t xml:space="preserve"> (выборка – </w:t>
      </w:r>
      <w:r w:rsidR="00A709FC">
        <w:rPr>
          <w:sz w:val="28"/>
          <w:szCs w:val="28"/>
        </w:rPr>
        <w:t>1</w:t>
      </w:r>
      <w:r w:rsidR="009D6CE1">
        <w:rPr>
          <w:sz w:val="28"/>
          <w:szCs w:val="28"/>
        </w:rPr>
        <w:t xml:space="preserve">3%)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A709FC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средний балл по Сургутскому району (15,65%) ниже на 1,7% среднего балла по ХМАО-Югре (17,35%) (диаграмма 1);</w:t>
      </w:r>
    </w:p>
    <w:p w:rsidR="00A709FC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(46,04%) ниже на 5,16 % среднего процента выполнения заданий по ХМАО-Югре (51,02%).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A709FC">
        <w:rPr>
          <w:sz w:val="28"/>
          <w:szCs w:val="28"/>
        </w:rPr>
        <w:t>Р по учебному предмету «Хим</w:t>
      </w:r>
      <w:r w:rsidR="00C31663" w:rsidRPr="007D2C0A">
        <w:rPr>
          <w:sz w:val="28"/>
          <w:szCs w:val="28"/>
        </w:rPr>
        <w:t>ия»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Pr="00CD08B1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D08B1">
        <w:rPr>
          <w:color w:val="auto"/>
          <w:sz w:val="28"/>
          <w:szCs w:val="28"/>
        </w:rPr>
        <w:t>- «2» (</w:t>
      </w:r>
      <w:r w:rsidR="00CD08B1" w:rsidRPr="00CD08B1">
        <w:rPr>
          <w:color w:val="auto"/>
          <w:sz w:val="28"/>
          <w:szCs w:val="28"/>
        </w:rPr>
        <w:t>38,46</w:t>
      </w:r>
      <w:r w:rsidRPr="00CD08B1">
        <w:rPr>
          <w:color w:val="auto"/>
          <w:sz w:val="28"/>
          <w:szCs w:val="28"/>
        </w:rPr>
        <w:t xml:space="preserve"> % обучающихся);</w:t>
      </w:r>
    </w:p>
    <w:p w:rsidR="009C41C9" w:rsidRPr="00CD08B1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D08B1">
        <w:rPr>
          <w:color w:val="auto"/>
          <w:sz w:val="28"/>
          <w:szCs w:val="28"/>
        </w:rPr>
        <w:t>- «3» (</w:t>
      </w:r>
      <w:r w:rsidR="00CD08B1" w:rsidRPr="00CD08B1">
        <w:rPr>
          <w:color w:val="auto"/>
          <w:sz w:val="28"/>
          <w:szCs w:val="28"/>
        </w:rPr>
        <w:t>36,61</w:t>
      </w:r>
      <w:r w:rsidR="009C41C9" w:rsidRPr="00CD08B1">
        <w:rPr>
          <w:color w:val="auto"/>
          <w:sz w:val="28"/>
          <w:szCs w:val="28"/>
        </w:rPr>
        <w:t>% обучающихся);</w:t>
      </w:r>
    </w:p>
    <w:p w:rsidR="009C41C9" w:rsidRPr="00CD08B1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D08B1">
        <w:rPr>
          <w:color w:val="auto"/>
          <w:sz w:val="28"/>
          <w:szCs w:val="28"/>
        </w:rPr>
        <w:t xml:space="preserve">- </w:t>
      </w:r>
      <w:r w:rsidR="009D6CE1" w:rsidRPr="00CD08B1">
        <w:rPr>
          <w:color w:val="auto"/>
          <w:sz w:val="28"/>
          <w:szCs w:val="28"/>
        </w:rPr>
        <w:t>«4» (</w:t>
      </w:r>
      <w:r w:rsidR="00CD08B1" w:rsidRPr="00CD08B1">
        <w:rPr>
          <w:color w:val="auto"/>
          <w:sz w:val="28"/>
          <w:szCs w:val="28"/>
        </w:rPr>
        <w:t>14,42</w:t>
      </w:r>
      <w:r w:rsidR="007D2C0A" w:rsidRPr="00CD08B1">
        <w:rPr>
          <w:color w:val="auto"/>
          <w:sz w:val="28"/>
          <w:szCs w:val="28"/>
        </w:rPr>
        <w:t>% обучающихся)</w:t>
      </w:r>
      <w:r w:rsidRPr="00CD08B1">
        <w:rPr>
          <w:color w:val="auto"/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 w:rsidRPr="00CD08B1">
        <w:rPr>
          <w:color w:val="auto"/>
          <w:sz w:val="28"/>
          <w:szCs w:val="28"/>
        </w:rPr>
        <w:t xml:space="preserve">- </w:t>
      </w:r>
      <w:r w:rsidR="009D6CE1" w:rsidRPr="00CD08B1">
        <w:rPr>
          <w:color w:val="auto"/>
          <w:sz w:val="28"/>
          <w:szCs w:val="28"/>
        </w:rPr>
        <w:t>«5» (</w:t>
      </w:r>
      <w:r w:rsidR="00CD08B1" w:rsidRPr="00CD08B1">
        <w:rPr>
          <w:color w:val="auto"/>
          <w:sz w:val="28"/>
          <w:szCs w:val="28"/>
        </w:rPr>
        <w:t>10,51</w:t>
      </w:r>
      <w:r w:rsidR="00C31663" w:rsidRPr="00CD08B1">
        <w:rPr>
          <w:color w:val="auto"/>
          <w:sz w:val="28"/>
          <w:szCs w:val="28"/>
        </w:rPr>
        <w:t>% об</w:t>
      </w:r>
      <w:r w:rsidR="007D2C0A" w:rsidRPr="00CD08B1">
        <w:rPr>
          <w:color w:val="auto"/>
          <w:sz w:val="28"/>
          <w:szCs w:val="28"/>
        </w:rPr>
        <w:t>учающихся</w:t>
      </w:r>
      <w:r w:rsidR="007D2C0A">
        <w:rPr>
          <w:sz w:val="28"/>
          <w:szCs w:val="28"/>
        </w:rPr>
        <w:t>);</w:t>
      </w:r>
    </w:p>
    <w:p w:rsidR="001B1171" w:rsidRPr="00F03F3C" w:rsidRDefault="00C31663" w:rsidP="00DB17D5">
      <w:pPr>
        <w:pStyle w:val="Default"/>
        <w:ind w:firstLine="567"/>
        <w:jc w:val="both"/>
        <w:rPr>
          <w:i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A709FC">
        <w:rPr>
          <w:color w:val="auto"/>
          <w:sz w:val="28"/>
          <w:szCs w:val="28"/>
        </w:rPr>
        <w:t>21 балл (</w:t>
      </w:r>
      <w:r w:rsidR="00A709FC">
        <w:rPr>
          <w:color w:val="auto"/>
          <w:sz w:val="28"/>
          <w:szCs w:val="28"/>
          <w:lang w:val="en-US"/>
        </w:rPr>
        <w:t>min</w:t>
      </w:r>
      <w:r w:rsidR="00A709FC">
        <w:rPr>
          <w:color w:val="auto"/>
          <w:sz w:val="28"/>
          <w:szCs w:val="28"/>
        </w:rPr>
        <w:t xml:space="preserve"> - 7, </w:t>
      </w:r>
      <w:r w:rsidR="00A709FC">
        <w:rPr>
          <w:color w:val="auto"/>
          <w:sz w:val="28"/>
          <w:szCs w:val="28"/>
          <w:lang w:val="en-US"/>
        </w:rPr>
        <w:t>max</w:t>
      </w:r>
      <w:r w:rsidR="00A709FC">
        <w:rPr>
          <w:color w:val="auto"/>
          <w:sz w:val="28"/>
          <w:szCs w:val="28"/>
        </w:rPr>
        <w:t xml:space="preserve"> – 28), </w:t>
      </w:r>
      <w:r w:rsidR="00DB17D5">
        <w:rPr>
          <w:color w:val="auto"/>
          <w:sz w:val="28"/>
          <w:szCs w:val="28"/>
        </w:rPr>
        <w:t>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="00A709FC">
        <w:rPr>
          <w:sz w:val="28"/>
          <w:szCs w:val="28"/>
        </w:rPr>
        <w:t>Р по учебному предмету «Хим</w:t>
      </w:r>
      <w:r w:rsidRPr="007D2C0A">
        <w:rPr>
          <w:sz w:val="28"/>
          <w:szCs w:val="28"/>
        </w:rPr>
        <w:t xml:space="preserve">ия»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A709FC">
        <w:rPr>
          <w:sz w:val="28"/>
          <w:szCs w:val="28"/>
        </w:rPr>
        <w:t xml:space="preserve"> с заданиями</w:t>
      </w:r>
      <w:r w:rsidR="001B1171" w:rsidRPr="007D2C0A">
        <w:rPr>
          <w:sz w:val="28"/>
          <w:szCs w:val="28"/>
        </w:rPr>
        <w:t xml:space="preserve">: </w:t>
      </w:r>
    </w:p>
    <w:p w:rsidR="00A709FC" w:rsidRPr="00A4617F" w:rsidRDefault="00A709FC" w:rsidP="00A709FC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10,</w:t>
      </w:r>
      <w:r w:rsidRPr="00A4617F">
        <w:rPr>
          <w:sz w:val="28"/>
          <w:szCs w:val="28"/>
        </w:rPr>
        <w:t xml:space="preserve"> проверяющее знания взаимосвязи неорганических веществ. Процент выполнения составил – 77,41%; </w:t>
      </w:r>
    </w:p>
    <w:p w:rsidR="00A709FC" w:rsidRPr="00A4617F" w:rsidRDefault="00A709FC" w:rsidP="00A709FC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7, п</w:t>
      </w:r>
      <w:r w:rsidRPr="00A4617F">
        <w:rPr>
          <w:sz w:val="28"/>
          <w:szCs w:val="28"/>
        </w:rPr>
        <w:t xml:space="preserve">роверяющее знания характерных химических свойств оснований и амфотерных гидроксидов. Характерные химические свойства кислот. Характерные химические свойства солей: средних, кислых, основных;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обмена. Процент выполнения составил – 73,19%; </w:t>
      </w:r>
    </w:p>
    <w:p w:rsidR="00A709FC" w:rsidRPr="00A4617F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6,</w:t>
      </w:r>
      <w:r w:rsidRPr="00A4617F">
        <w:rPr>
          <w:sz w:val="28"/>
          <w:szCs w:val="28"/>
        </w:rPr>
        <w:t xml:space="preserve"> проверяющее знания характерных химических свойств простых веществ–металлов: щелочных, щелочноземельных, магния, алюминия; переходных металлов: меди, цинка, хрома, железа. Характерные химические свойства простых веществ–неметаллов: водорода, галогенов, кислорода, серы, азота, фосфора, углерода, кремния. Характерные химические свойства оксидов: основных, амфотерных, кислотных. Процент выполнения составил – 70,30%. </w:t>
      </w:r>
    </w:p>
    <w:p w:rsidR="00A709FC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 w:rsidRPr="00751C93">
        <w:rPr>
          <w:b/>
          <w:sz w:val="28"/>
          <w:szCs w:val="28"/>
        </w:rPr>
        <w:t>Затруднения</w:t>
      </w:r>
      <w:r w:rsidRPr="00A4617F">
        <w:rPr>
          <w:sz w:val="28"/>
          <w:szCs w:val="28"/>
        </w:rPr>
        <w:t xml:space="preserve"> у обучающихся </w:t>
      </w:r>
      <w:r>
        <w:rPr>
          <w:b/>
          <w:sz w:val="28"/>
          <w:szCs w:val="28"/>
        </w:rPr>
        <w:t>вызвали</w:t>
      </w:r>
      <w:r w:rsidRPr="00A4617F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ания:</w:t>
      </w:r>
    </w:p>
    <w:p w:rsidR="00A709FC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1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4617F">
        <w:rPr>
          <w:sz w:val="28"/>
          <w:szCs w:val="28"/>
        </w:rPr>
        <w:t>16, проверяющее знания характерных химических свойств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механизмы реакций в органической химии. Процент выполнения данного задания составил</w:t>
      </w:r>
      <w:r>
        <w:rPr>
          <w:sz w:val="28"/>
          <w:szCs w:val="28"/>
        </w:rPr>
        <w:t xml:space="preserve"> – 29,29%;</w:t>
      </w:r>
    </w:p>
    <w:p w:rsidR="00A709FC" w:rsidRPr="00A4617F" w:rsidRDefault="00A709FC" w:rsidP="00A709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A4617F">
        <w:rPr>
          <w:sz w:val="28"/>
          <w:szCs w:val="28"/>
        </w:rPr>
        <w:t xml:space="preserve">адание № 22, проверяющее знание качественных реакций на неорганические вещества и ионы. Качественные реакции органических соединений, процент выполнения составил 33,8№%. </w:t>
      </w:r>
    </w:p>
    <w:p w:rsidR="00A709FC" w:rsidRPr="00A4617F" w:rsidRDefault="00A709FC" w:rsidP="00A7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17F">
        <w:rPr>
          <w:rFonts w:ascii="Times New Roman" w:hAnsi="Times New Roman" w:cs="Times New Roman"/>
          <w:sz w:val="28"/>
          <w:szCs w:val="28"/>
        </w:rPr>
        <w:t>При составлении методического анализа, учителям предметникам необходимо обратить внимание на % выполнения заданий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7F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7F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14, 15, 17</w:t>
      </w:r>
      <w:r w:rsidRPr="00A4617F">
        <w:rPr>
          <w:rFonts w:ascii="Times New Roman" w:hAnsi="Times New Roman" w:cs="Times New Roman"/>
          <w:sz w:val="28"/>
          <w:szCs w:val="28"/>
        </w:rPr>
        <w:t xml:space="preserve"> с решением данных заданий обучающиеся справились хуже.</w:t>
      </w:r>
    </w:p>
    <w:p w:rsidR="001B1171" w:rsidRPr="00A709FC" w:rsidRDefault="001B1171" w:rsidP="001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B1171" w:rsidRPr="00CD08B1" w:rsidRDefault="009C41C9" w:rsidP="007D2C0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D08B1">
        <w:rPr>
          <w:b/>
          <w:bCs/>
          <w:color w:val="auto"/>
          <w:sz w:val="28"/>
          <w:szCs w:val="28"/>
        </w:rPr>
        <w:t xml:space="preserve">6. </w:t>
      </w:r>
      <w:r w:rsidR="001B1171" w:rsidRPr="00CD08B1">
        <w:rPr>
          <w:b/>
          <w:bCs/>
          <w:color w:val="auto"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D08B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Отделу развития и </w:t>
      </w: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595325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A7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«Хим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A709FC">
        <w:rPr>
          <w:sz w:val="28"/>
          <w:szCs w:val="28"/>
        </w:rPr>
        <w:t>Р по учебному предмету «Хим</w:t>
      </w:r>
      <w:r w:rsidR="001B1171" w:rsidRPr="007D2C0A">
        <w:rPr>
          <w:sz w:val="28"/>
          <w:szCs w:val="28"/>
        </w:rPr>
        <w:t>ия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5953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595325">
        <w:rPr>
          <w:color w:val="auto"/>
          <w:sz w:val="28"/>
          <w:szCs w:val="28"/>
        </w:rPr>
        <w:t xml:space="preserve"> для </w:t>
      </w:r>
      <w:r w:rsidR="00595325" w:rsidRPr="00BD28F1">
        <w:rPr>
          <w:color w:val="auto"/>
          <w:sz w:val="28"/>
          <w:szCs w:val="28"/>
        </w:rPr>
        <w:t>совершенствования</w:t>
      </w:r>
      <w:r w:rsidR="00DB17D5" w:rsidRPr="00BD28F1">
        <w:rPr>
          <w:color w:val="auto"/>
          <w:sz w:val="28"/>
          <w:szCs w:val="28"/>
        </w:rPr>
        <w:t xml:space="preserve"> методики преподавания в процессе</w:t>
      </w:r>
      <w:r w:rsidR="00A709FC">
        <w:rPr>
          <w:color w:val="auto"/>
          <w:sz w:val="28"/>
          <w:szCs w:val="28"/>
        </w:rPr>
        <w:t xml:space="preserve"> обучения предмету «Хим</w:t>
      </w:r>
      <w:r>
        <w:rPr>
          <w:color w:val="auto"/>
          <w:sz w:val="28"/>
          <w:szCs w:val="28"/>
        </w:rPr>
        <w:t>ия».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A709FC">
        <w:rPr>
          <w:sz w:val="28"/>
          <w:szCs w:val="28"/>
        </w:rPr>
        <w:t>Р по учебному предмету «Хим</w:t>
      </w:r>
      <w:r w:rsidR="00BD28F1" w:rsidRPr="007D2C0A">
        <w:rPr>
          <w:sz w:val="28"/>
          <w:szCs w:val="28"/>
        </w:rPr>
        <w:t>ия» на совещании ОО, довести анализ результатов проверочной работы до с</w:t>
      </w:r>
      <w:r w:rsidR="00595325">
        <w:rPr>
          <w:sz w:val="28"/>
          <w:szCs w:val="28"/>
        </w:rPr>
        <w:t>ведения учителей–</w:t>
      </w:r>
      <w:r>
        <w:rPr>
          <w:sz w:val="28"/>
          <w:szCs w:val="28"/>
        </w:rPr>
        <w:t>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</w:t>
      </w:r>
      <w:r w:rsidR="00A709FC">
        <w:rPr>
          <w:sz w:val="28"/>
          <w:szCs w:val="28"/>
        </w:rPr>
        <w:t>ов по учебному предмету «Хим</w:t>
      </w:r>
      <w:r w:rsidR="00BD28F1" w:rsidRPr="007D2C0A">
        <w:rPr>
          <w:sz w:val="28"/>
          <w:szCs w:val="28"/>
        </w:rPr>
        <w:t xml:space="preserve">ия»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>
        <w:rPr>
          <w:sz w:val="28"/>
          <w:szCs w:val="28"/>
        </w:rPr>
        <w:t>ификации для учителей географии.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595325">
        <w:rPr>
          <w:sz w:val="28"/>
          <w:szCs w:val="28"/>
        </w:rPr>
        <w:t xml:space="preserve"> (</w:t>
      </w:r>
      <w:r w:rsidR="00595325" w:rsidRPr="00595325">
        <w:rPr>
          <w:sz w:val="28"/>
          <w:szCs w:val="28"/>
        </w:rPr>
        <w:t>используя личный кабинет информационной системе «Региональный мониторинг» на платформе ABBYY</w:t>
      </w:r>
      <w:r w:rsidR="00595325">
        <w:rPr>
          <w:sz w:val="28"/>
          <w:szCs w:val="28"/>
        </w:rPr>
        <w:t>)</w:t>
      </w:r>
      <w:r w:rsidR="00BD28F1" w:rsidRPr="007D2C0A">
        <w:rPr>
          <w:sz w:val="28"/>
          <w:szCs w:val="28"/>
        </w:rPr>
        <w:t>;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A709FC">
        <w:rPr>
          <w:sz w:val="28"/>
          <w:szCs w:val="28"/>
        </w:rPr>
        <w:t>о учебному предмету «Хим</w:t>
      </w:r>
      <w:r>
        <w:rPr>
          <w:sz w:val="28"/>
          <w:szCs w:val="28"/>
        </w:rPr>
        <w:t>ия».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ВПР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595325">
        <w:rPr>
          <w:sz w:val="28"/>
          <w:szCs w:val="28"/>
        </w:rPr>
        <w:t>)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</w:t>
      </w:r>
      <w:r w:rsidR="00A709FC">
        <w:rPr>
          <w:sz w:val="28"/>
          <w:szCs w:val="28"/>
        </w:rPr>
        <w:t>чения учебного предмета «Хим</w:t>
      </w:r>
      <w:r w:rsidR="00BD28F1" w:rsidRPr="007D2C0A">
        <w:rPr>
          <w:sz w:val="28"/>
          <w:szCs w:val="28"/>
        </w:rPr>
        <w:t>ия»,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A709FC">
        <w:rPr>
          <w:color w:val="auto"/>
          <w:sz w:val="28"/>
          <w:szCs w:val="28"/>
        </w:rPr>
        <w:t>и баллами необходимо (менее 15,65</w:t>
      </w:r>
      <w:r w:rsidR="00BD28F1">
        <w:rPr>
          <w:color w:val="auto"/>
          <w:sz w:val="28"/>
          <w:szCs w:val="28"/>
        </w:rPr>
        <w:t xml:space="preserve"> 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595325" w:rsidRPr="00595325" w:rsidRDefault="00595325" w:rsidP="00595325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595325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95325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95325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95325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95325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595325" w:rsidRPr="00595325" w:rsidRDefault="00595325" w:rsidP="005953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95325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595325" w:rsidRPr="00595325" w:rsidRDefault="00595325" w:rsidP="00595325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595325" w:rsidRPr="00420580" w:rsidRDefault="00595325" w:rsidP="00595325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BD28F1" w:rsidRPr="009E4315" w:rsidRDefault="00BD28F1" w:rsidP="00595325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BD28F1" w:rsidRPr="009E4315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E3" w:rsidRDefault="00B11DE3" w:rsidP="00F61293">
      <w:pPr>
        <w:spacing w:after="0" w:line="240" w:lineRule="auto"/>
      </w:pPr>
      <w:r>
        <w:separator/>
      </w:r>
    </w:p>
  </w:endnote>
  <w:endnote w:type="continuationSeparator" w:id="0">
    <w:p w:rsidR="00B11DE3" w:rsidRDefault="00B11DE3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A709FC" w:rsidRDefault="00A709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20">
          <w:rPr>
            <w:noProof/>
          </w:rPr>
          <w:t>1</w:t>
        </w:r>
        <w:r>
          <w:fldChar w:fldCharType="end"/>
        </w:r>
      </w:p>
    </w:sdtContent>
  </w:sdt>
  <w:p w:rsidR="00A709FC" w:rsidRDefault="00A709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E3" w:rsidRDefault="00B11DE3" w:rsidP="00F61293">
      <w:pPr>
        <w:spacing w:after="0" w:line="240" w:lineRule="auto"/>
      </w:pPr>
      <w:r>
        <w:separator/>
      </w:r>
    </w:p>
  </w:footnote>
  <w:footnote w:type="continuationSeparator" w:id="0">
    <w:p w:rsidR="00B11DE3" w:rsidRDefault="00B11DE3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72A8E"/>
    <w:rsid w:val="00592875"/>
    <w:rsid w:val="00595325"/>
    <w:rsid w:val="005B4EBB"/>
    <w:rsid w:val="005B772A"/>
    <w:rsid w:val="005C226B"/>
    <w:rsid w:val="005C569A"/>
    <w:rsid w:val="005D2632"/>
    <w:rsid w:val="00611ED7"/>
    <w:rsid w:val="00620BB3"/>
    <w:rsid w:val="006315D6"/>
    <w:rsid w:val="00650826"/>
    <w:rsid w:val="00653E1B"/>
    <w:rsid w:val="006543E5"/>
    <w:rsid w:val="0066171B"/>
    <w:rsid w:val="00672FDF"/>
    <w:rsid w:val="00684548"/>
    <w:rsid w:val="00694E57"/>
    <w:rsid w:val="006D3239"/>
    <w:rsid w:val="006E18CF"/>
    <w:rsid w:val="006E225B"/>
    <w:rsid w:val="006F1E42"/>
    <w:rsid w:val="007119F3"/>
    <w:rsid w:val="00723A61"/>
    <w:rsid w:val="00746A91"/>
    <w:rsid w:val="00751C93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A044E"/>
    <w:rsid w:val="009A18A1"/>
    <w:rsid w:val="009A2E84"/>
    <w:rsid w:val="009C41C9"/>
    <w:rsid w:val="009D1D9A"/>
    <w:rsid w:val="009D493F"/>
    <w:rsid w:val="009D6CE1"/>
    <w:rsid w:val="009E4315"/>
    <w:rsid w:val="009F7E91"/>
    <w:rsid w:val="00A03B0F"/>
    <w:rsid w:val="00A14A3B"/>
    <w:rsid w:val="00A26CB8"/>
    <w:rsid w:val="00A4617F"/>
    <w:rsid w:val="00A46396"/>
    <w:rsid w:val="00A47A89"/>
    <w:rsid w:val="00A709FC"/>
    <w:rsid w:val="00A70A71"/>
    <w:rsid w:val="00A7313A"/>
    <w:rsid w:val="00A80D3C"/>
    <w:rsid w:val="00A94936"/>
    <w:rsid w:val="00AA2154"/>
    <w:rsid w:val="00AC163A"/>
    <w:rsid w:val="00AC435A"/>
    <w:rsid w:val="00AC5753"/>
    <w:rsid w:val="00AF7165"/>
    <w:rsid w:val="00B06E64"/>
    <w:rsid w:val="00B07549"/>
    <w:rsid w:val="00B07CFF"/>
    <w:rsid w:val="00B11DE3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08B1"/>
    <w:rsid w:val="00CD7220"/>
    <w:rsid w:val="00CE5CD1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80C20"/>
    <w:rsid w:val="00D92A60"/>
    <w:rsid w:val="00D95EE5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B73C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17.350000000000001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2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2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2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- 15,65 баллов</a:t>
            </a:r>
            <a:endParaRPr lang="ru-RU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МБОУ "Барсовская СОШ № 1"</c:v>
                </c:pt>
                <c:pt idx="5">
                  <c:v>МБОУ "Федоровская СОШ № 2"</c:v>
                </c:pt>
                <c:pt idx="6">
                  <c:v>МБОУ "Федоровская СОШ № 1"</c:v>
                </c:pt>
                <c:pt idx="7">
                  <c:v>МБОУ "Федоровская СОШ № 5"</c:v>
                </c:pt>
                <c:pt idx="8">
                  <c:v>МБОУ Ульт-Ягунская СОШ"</c:v>
                </c:pt>
                <c:pt idx="9">
                  <c:v>МБОУ "Лянторская СОШ № 3"</c:v>
                </c:pt>
                <c:pt idx="10">
                  <c:v>МБОУ "Лянторская СОШ № 4"</c:v>
                </c:pt>
                <c:pt idx="11">
                  <c:v>МБОУ "Лянторская СОШ № 5"</c:v>
                </c:pt>
                <c:pt idx="12">
                  <c:v>МБОУ "Лянторская СОШ № 6"</c:v>
                </c:pt>
                <c:pt idx="13">
                  <c:v>МАОУ "Лянторская СОШ № 7"</c:v>
                </c:pt>
                <c:pt idx="14">
                  <c:v>МБОУ "Нижнесортымская СОШ"</c:v>
                </c:pt>
                <c:pt idx="15">
                  <c:v>Филиал "Локосовская СШ-детский сад"</c:v>
                </c:pt>
                <c:pt idx="16">
                  <c:v>МБОУ "Ляминская СОШ "</c:v>
                </c:pt>
                <c:pt idx="17">
                  <c:v>МБОУ "Русскинская СОШ"</c:v>
                </c:pt>
                <c:pt idx="18">
                  <c:v>МБОУ "Угутская СОШ"</c:v>
                </c:pt>
                <c:pt idx="19">
                  <c:v>Сургутский район</c:v>
                </c:pt>
                <c:pt idx="20">
                  <c:v>ХМАО-Югра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13.1</c:v>
                </c:pt>
                <c:pt idx="1">
                  <c:v>22.2</c:v>
                </c:pt>
                <c:pt idx="2">
                  <c:v>12.3</c:v>
                </c:pt>
                <c:pt idx="3">
                  <c:v>13.5</c:v>
                </c:pt>
                <c:pt idx="4">
                  <c:v>11.3</c:v>
                </c:pt>
                <c:pt idx="5">
                  <c:v>12.4</c:v>
                </c:pt>
                <c:pt idx="6">
                  <c:v>13.2</c:v>
                </c:pt>
                <c:pt idx="7">
                  <c:v>23.3</c:v>
                </c:pt>
                <c:pt idx="8">
                  <c:v>7</c:v>
                </c:pt>
                <c:pt idx="9">
                  <c:v>17.5</c:v>
                </c:pt>
                <c:pt idx="10">
                  <c:v>13.6</c:v>
                </c:pt>
                <c:pt idx="11">
                  <c:v>22</c:v>
                </c:pt>
                <c:pt idx="12">
                  <c:v>20.5</c:v>
                </c:pt>
                <c:pt idx="13">
                  <c:v>9.9</c:v>
                </c:pt>
                <c:pt idx="14">
                  <c:v>11.7</c:v>
                </c:pt>
                <c:pt idx="15">
                  <c:v>16</c:v>
                </c:pt>
                <c:pt idx="16">
                  <c:v>17</c:v>
                </c:pt>
                <c:pt idx="17">
                  <c:v>25</c:v>
                </c:pt>
                <c:pt idx="18">
                  <c:v>28</c:v>
                </c:pt>
                <c:pt idx="19">
                  <c:v>15.65</c:v>
                </c:pt>
                <c:pt idx="20">
                  <c:v>17.37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A3D7-9FC0-42DB-A65C-6622538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14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49</cp:revision>
  <cp:lastPrinted>2021-01-25T07:20:00Z</cp:lastPrinted>
  <dcterms:created xsi:type="dcterms:W3CDTF">2020-01-28T06:57:00Z</dcterms:created>
  <dcterms:modified xsi:type="dcterms:W3CDTF">2021-02-04T05:46:00Z</dcterms:modified>
</cp:coreProperties>
</file>