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3" w:rsidRDefault="00F02BE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Рекомендации</w:t>
      </w:r>
    </w:p>
    <w:p w:rsidR="007E78B3" w:rsidRDefault="00F02BE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круглого стола «Совершенствование деятельности органов и</w:t>
      </w:r>
      <w:r>
        <w:rPr>
          <w:b/>
          <w:bCs/>
        </w:rPr>
        <w:br/>
        <w:t>учреждений системы профилактики безнадзорности и</w:t>
      </w:r>
      <w:r>
        <w:rPr>
          <w:b/>
          <w:bCs/>
        </w:rPr>
        <w:br/>
        <w:t>правонарушений несовершеннолетних по снижению криминализации</w:t>
      </w:r>
      <w:r>
        <w:rPr>
          <w:b/>
          <w:bCs/>
        </w:rPr>
        <w:br/>
        <w:t>подростковой среды»</w:t>
      </w:r>
    </w:p>
    <w:p w:rsidR="007E78B3" w:rsidRDefault="00F02BE1">
      <w:pPr>
        <w:pStyle w:val="1"/>
        <w:shd w:val="clear" w:color="auto" w:fill="auto"/>
        <w:spacing w:after="280"/>
        <w:ind w:firstLine="320"/>
      </w:pPr>
      <w:r>
        <w:t>26 мая 2022 года г. Москва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В проведении круглого стола н</w:t>
      </w:r>
      <w:r>
        <w:t>а площадке Министерства внутренних дел Российской Федерации под председательством начальника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</w:t>
      </w:r>
      <w:r>
        <w:t>ссии М.И. Давыдова приняли участие</w:t>
      </w:r>
      <w:bookmarkStart w:id="0" w:name="_GoBack"/>
      <w:bookmarkEnd w:id="0"/>
      <w:r>
        <w:t xml:space="preserve"> начальник департамента Управления Президента Российской Федерации по общественным проектам Д.С. Заварзин, председатель Фонда поддержки детей, находящихся в трудной жизненной ситуации, М.В. Гордеева, директора департаменто</w:t>
      </w:r>
      <w:r>
        <w:t xml:space="preserve">в Минпросвещения России Л.П. Фальковская, Минтруда России Т.Н. Васько и Е.А. Семенова, директор Института изучения детства, семьи и воспитания Российской академии образования Н.В. Агре, прокурор управления Генеральной прокуратуры Российской Федерации А.П. </w:t>
      </w:r>
      <w:r>
        <w:t>Фирсова, заместитель директора департамента Минтруда России Д.А. Шамгунов, заместитель начальника управления Росмолодежи В.В. Тетерин, начальники отделов Минкультуры России Д.Д. Шмидт, Минспорта России В.В. Ерошов, заместитель начальника отдела Минздрава Р</w:t>
      </w:r>
      <w:r>
        <w:t>оссии А.Д. Родионова, советники аппарата Уполномоченного при Президенте Российской Федерации по правам ребенка Е.А. Новосельцева, А.Н. Сохатская, руководители территориальных органов МВД России, региональных учреждений и ведомств системы профилактики безна</w:t>
      </w:r>
      <w:r>
        <w:t>дзорности и правонарушений несовершеннолетних.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rPr>
          <w:b/>
          <w:bCs/>
        </w:rPr>
        <w:t>Участники круглого стола, рассмотрев и обсудив вопросы, связанные с детской безопасностью, ответственным родительством, организацией занятости несовершеннолетних, отмечают следующее.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При стабильном (</w:t>
      </w:r>
      <w:r>
        <w:rPr>
          <w:i/>
          <w:iCs/>
          <w:sz w:val="26"/>
          <w:szCs w:val="26"/>
        </w:rPr>
        <w:t>за последн</w:t>
      </w:r>
      <w:r>
        <w:rPr>
          <w:i/>
          <w:iCs/>
          <w:sz w:val="26"/>
          <w:szCs w:val="26"/>
        </w:rPr>
        <w:t>ие 10 лет</w:t>
      </w:r>
      <w:r>
        <w:t>) снижении подростковой преступности число противоправных деяний в отношении детей неуклонно растет. 60% (</w:t>
      </w:r>
      <w:r>
        <w:rPr>
          <w:i/>
          <w:iCs/>
          <w:sz w:val="26"/>
          <w:szCs w:val="26"/>
        </w:rPr>
        <w:t>60 389</w:t>
      </w:r>
      <w:r>
        <w:t>) от всех зарегистрированных в прошлом году преступлений были допущены членами семьи, из них 98% - родителями (</w:t>
      </w:r>
      <w:r>
        <w:rPr>
          <w:i/>
          <w:iCs/>
          <w:sz w:val="26"/>
          <w:szCs w:val="26"/>
        </w:rPr>
        <w:t>59 426</w:t>
      </w:r>
      <w:r>
        <w:t>).</w:t>
      </w:r>
    </w:p>
    <w:p w:rsidR="007E78B3" w:rsidRDefault="00F02BE1" w:rsidP="00941BD3">
      <w:pPr>
        <w:pStyle w:val="1"/>
        <w:shd w:val="clear" w:color="auto" w:fill="auto"/>
        <w:ind w:firstLine="709"/>
      </w:pPr>
      <w:r>
        <w:t xml:space="preserve">В современных </w:t>
      </w:r>
      <w:r>
        <w:t>условиях воспитательная функция семьи ослаблена.</w:t>
      </w:r>
    </w:p>
    <w:p w:rsidR="007E78B3" w:rsidRDefault="00F02BE1" w:rsidP="00941BD3">
      <w:pPr>
        <w:pStyle w:val="1"/>
        <w:shd w:val="clear" w:color="auto" w:fill="auto"/>
        <w:spacing w:after="280"/>
        <w:ind w:firstLine="709"/>
        <w:jc w:val="both"/>
      </w:pPr>
      <w:r>
        <w:t>Значительная часть семей формируется на основе фактического, а не юридического брака. Решения о совместном проживании принимаются без учета</w:t>
      </w:r>
      <w:r w:rsidR="00941BD3">
        <w:t xml:space="preserve"> </w:t>
      </w:r>
      <w:r>
        <w:t>интересов несовершеннолетних, в связи с чем в близкое окружение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ребенка нередко попадают лица, ведущие асоциальный образ жизни.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На профилактическом учете органов внутренних дел в 2021 году состояло более 220 тыс. неблагополучных родителей, имеющих на иждивении несовершеннолетних детей. Из них более половины (</w:t>
      </w:r>
      <w:r>
        <w:rPr>
          <w:i/>
          <w:iCs/>
          <w:sz w:val="26"/>
          <w:szCs w:val="26"/>
        </w:rPr>
        <w:t>54,5%</w:t>
      </w:r>
      <w:r>
        <w:t xml:space="preserve">) не </w:t>
      </w:r>
      <w:r>
        <w:t xml:space="preserve">работали, проживая на пособия со стороны государства, свыше 60% </w:t>
      </w:r>
      <w:r>
        <w:rPr>
          <w:i/>
          <w:iCs/>
        </w:rPr>
        <w:t>(</w:t>
      </w:r>
      <w:r>
        <w:rPr>
          <w:i/>
          <w:iCs/>
          <w:sz w:val="26"/>
          <w:szCs w:val="26"/>
        </w:rPr>
        <w:t>63,3%)</w:t>
      </w:r>
      <w:r>
        <w:t xml:space="preserve"> имели алкогольную </w:t>
      </w:r>
      <w:r>
        <w:lastRenderedPageBreak/>
        <w:t>зависимость, 12% - являлись ранее судимыми.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Вследствие несформированности у родителей чувства ответственности за детей, наличия материальных и бытовых проблем, они за</w:t>
      </w:r>
      <w:r>
        <w:t>частую не владеют основами семейной психологии, в связи с чем не могут оказать несовершеннолетним помощь в разрешении конфликтных ситуаций, не обращают внимание на их тревожное поведение.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>Организация профилактической работы в условиях актуальных социальных</w:t>
      </w:r>
      <w:r>
        <w:t xml:space="preserve"> обстоятельств требует новых подходов к реализации превентивных мер.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Одним из «вызовов» сегодняшнего времени являются действия по дестабилизации общественно-политической и социально-экономической обстановки путем привлечения молодежи к участию в совершении</w:t>
      </w:r>
      <w:r>
        <w:t xml:space="preserve"> противоправных деяний, в том числе несогласованных публичных мероприятиях.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При общем сокращении на 15,6% (</w:t>
      </w:r>
      <w:r>
        <w:rPr>
          <w:i/>
          <w:iCs/>
          <w:sz w:val="26"/>
          <w:szCs w:val="26"/>
        </w:rPr>
        <w:t>с 37,8 тыс. до 31,9 тыс</w:t>
      </w:r>
      <w:r>
        <w:rPr>
          <w:i/>
          <w:iCs/>
          <w:sz w:val="24"/>
          <w:szCs w:val="24"/>
        </w:rPr>
        <w:t>.</w:t>
      </w:r>
      <w:r>
        <w:t>) подростковой преступности по итогам 2021 года, остается актуальной проблема проявления несовершеннолетними агрессии и насил</w:t>
      </w:r>
      <w:r>
        <w:t>ия. Рост числа особо тяжких преступных деяний отмечен в половине (</w:t>
      </w:r>
      <w:r>
        <w:rPr>
          <w:i/>
          <w:iCs/>
          <w:sz w:val="26"/>
          <w:szCs w:val="26"/>
        </w:rPr>
        <w:t>44</w:t>
      </w:r>
      <w:r>
        <w:t>) субъектов Российской Федерации.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Нейтрализация негативных процессов административными и уголовно- правовыми мерами дает кратковременный результат. Необходимы альтернативные подходы к орга</w:t>
      </w:r>
      <w:r>
        <w:t>низации подростковой занятости, замена противоправной</w:t>
      </w:r>
      <w:r w:rsidR="00941BD3">
        <w:t xml:space="preserve"> </w:t>
      </w:r>
      <w:r>
        <w:t>деятельности на социально полезную, трудовую.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Нуждаются в совершенствовании программы профориентационной подготовки школьников, их поэтапное ознакомление с актуальными для регионов профессиями.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В обстано</w:t>
      </w:r>
      <w:r>
        <w:t>вке санкционного давления представляется необходимым создание условий для трудовой занятости подростков в импортозамещающих проектах.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Как показывает практика, в регионах, где вопросам организованной занятости подростков уделяется повышенное внимание, степе</w:t>
      </w:r>
      <w:r>
        <w:t>нь их криминальной активности имеет выраженную тенденцию к снижению.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>Инициативы Министерства внутренних дел Российской Федерации по изменению формата профилактической работы с несовершеннолетними и родителями участниками круглого стола поддержаны.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rPr>
          <w:b/>
          <w:bCs/>
        </w:rPr>
        <w:t>С учетом</w:t>
      </w:r>
      <w:r>
        <w:rPr>
          <w:b/>
          <w:bCs/>
        </w:rPr>
        <w:t xml:space="preserve"> состоявшегося обсуждения участники круглого стола рекомендуют: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>Минпросвещения России совместно с Минздравом России, Минтрудом</w:t>
      </w:r>
      <w:r w:rsidR="00941BD3">
        <w:t xml:space="preserve"> Росс</w:t>
      </w:r>
      <w:r>
        <w:t>ии МВД России: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 xml:space="preserve">подготовить программы просвещения в области семейного права, основ планирования семьи и деторождения, </w:t>
      </w:r>
      <w:r>
        <w:t>финансовой грамотности и психологии детско-родительских отношений;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сформировать систему непрерывного социального сопровождения молодых</w:t>
      </w:r>
      <w:r w:rsidR="00941BD3">
        <w:t xml:space="preserve"> </w:t>
      </w:r>
      <w:r>
        <w:t>родителей и лиц группы риска;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обеспечить ведение единого учета сведений о гражданах, ранее лишенных родительских прав, и п</w:t>
      </w:r>
      <w:r>
        <w:t>ринятие профилактических мер в их отношении в случае рождения детей.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lastRenderedPageBreak/>
        <w:t xml:space="preserve">Минтруду России совместно с Минпросвещения России, Минобрнауки России, Росмолодежью при участии аппарата Уполномоченного при Президенте Российской Федерации по правам ребенка и ФГБУ </w:t>
      </w:r>
      <w:r>
        <w:t>«Институт изучения детства, семьи и воспитания Российской академии образования»: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провести в молодежной среде исследование о предпочтениях подростков</w:t>
      </w:r>
      <w:r w:rsidR="00941BD3">
        <w:t xml:space="preserve"> </w:t>
      </w:r>
      <w:r>
        <w:t>в выборе профессии;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сформировать систему раннего профессионального ориентирования</w:t>
      </w:r>
      <w:r w:rsidR="00941BD3">
        <w:t xml:space="preserve"> </w:t>
      </w:r>
      <w:r>
        <w:t>и самоопределения детей;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пр</w:t>
      </w:r>
      <w:r>
        <w:t>инять меры по упрощению механизма трудоустройства и квотирования рабочих мест для несовершеннолетних;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>разработать программы подготовки педагогов по обучению способам профориентационной работы с детьми и создать единую методологическую платформу.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 xml:space="preserve">Минспорту </w:t>
      </w:r>
      <w:r>
        <w:t>России совместно с Минкультуры России и Росмолодежью: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>продолжить реализацию мероприятий по интеграции несовершеннолетних, вступивших в конфликт с законом, и детей, оказавшихся в трудной жизненной ситуации, в организованные формы досуга, обеспечив их максим</w:t>
      </w:r>
      <w:r>
        <w:t>альный охват.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Минкультуры России совместно с Минцифры России:</w:t>
      </w:r>
    </w:p>
    <w:p w:rsidR="007E78B3" w:rsidRDefault="00F02BE1" w:rsidP="00941BD3">
      <w:pPr>
        <w:pStyle w:val="1"/>
        <w:shd w:val="clear" w:color="auto" w:fill="auto"/>
        <w:spacing w:after="40"/>
        <w:ind w:firstLine="709"/>
        <w:jc w:val="both"/>
      </w:pPr>
      <w:r>
        <w:t>разработать комплекс мероприятий по популяризации просветительских программ для детей и юношества, предусмотрев увеличение продолжительности времени их вещания на основных государственных телека</w:t>
      </w:r>
      <w:r>
        <w:t>налах.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Органам исполнительной власти субъектов Российской Федерации совместнос территориальными органам МВД России: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проработать вопросы создания в регионах «школ ответственного родительства» с учетом национальных особенностей регионов;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актуализировать перс</w:t>
      </w:r>
      <w:r>
        <w:t>пективные вакансии для несовершеннолетних с учетом</w:t>
      </w:r>
      <w:r w:rsidR="00941BD3">
        <w:t xml:space="preserve"> </w:t>
      </w:r>
      <w:r>
        <w:t>тенденции импортозамещения в отечественной промышленности;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организовать в службе занятости «единое окно» для лиц, не достигших 18-ти лет, с возможностью минимальных затрат на документальное оформление по</w:t>
      </w:r>
      <w:r w:rsidR="00941BD3">
        <w:t xml:space="preserve"> </w:t>
      </w:r>
      <w:r>
        <w:t xml:space="preserve">их </w:t>
      </w:r>
      <w:r>
        <w:t>трудоустройству;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>принять меры по сохранению и развитию существующей системы учреждений, обеспечивающих досуговую, в том числе каникулярную занятость несовершеннолетних, организации их работы в кругло</w:t>
      </w:r>
      <w:r w:rsidR="00941BD3">
        <w:t>го</w:t>
      </w:r>
      <w:r>
        <w:t>дичном режиме;</w:t>
      </w:r>
    </w:p>
    <w:p w:rsidR="007E78B3" w:rsidRDefault="00F02BE1" w:rsidP="00941BD3">
      <w:pPr>
        <w:pStyle w:val="1"/>
        <w:shd w:val="clear" w:color="auto" w:fill="auto"/>
        <w:ind w:firstLine="709"/>
        <w:jc w:val="both"/>
      </w:pPr>
      <w:r>
        <w:t xml:space="preserve">продолжить исполнение программных </w:t>
      </w:r>
      <w:r>
        <w:t>мероприятий Фонда поддержки детей,</w:t>
      </w:r>
      <w:r w:rsidR="00941BD3">
        <w:t xml:space="preserve"> </w:t>
      </w:r>
      <w:r>
        <w:t>находящихся в трудной жизненной ситуации, после завершения срока их реализации.</w:t>
      </w:r>
    </w:p>
    <w:sectPr w:rsidR="007E78B3">
      <w:headerReference w:type="default" r:id="rId6"/>
      <w:headerReference w:type="first" r:id="rId7"/>
      <w:type w:val="continuous"/>
      <w:pgSz w:w="11900" w:h="16840"/>
      <w:pgMar w:top="1398" w:right="1009" w:bottom="124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E1" w:rsidRDefault="00F02BE1">
      <w:r>
        <w:separator/>
      </w:r>
    </w:p>
  </w:endnote>
  <w:endnote w:type="continuationSeparator" w:id="0">
    <w:p w:rsidR="00F02BE1" w:rsidRDefault="00F0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E1" w:rsidRDefault="00F02BE1"/>
  </w:footnote>
  <w:footnote w:type="continuationSeparator" w:id="0">
    <w:p w:rsidR="00F02BE1" w:rsidRDefault="00F02B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B3" w:rsidRDefault="00F02B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466725</wp:posOffset>
              </wp:positionV>
              <wp:extent cx="6096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8B3" w:rsidRDefault="00F02BE1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1B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9.6pt;margin-top:36.75pt;width:4.8pt;height:9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" filled="f" stroked="f">
              <v:textbox style="mso-fit-shape-to-text:t" inset="0,0,0,0">
                <w:txbxContent>
                  <w:p w:rsidR="007E78B3" w:rsidRDefault="00F02BE1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1B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B3" w:rsidRDefault="007E78B3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3"/>
    <w:rsid w:val="007E78B3"/>
    <w:rsid w:val="00941BD3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2CEA"/>
  <w15:docId w15:val="{6FDE215D-556D-440B-9DD4-19B031E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 w:line="235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0"/>
      <w:ind w:left="1020" w:firstLine="1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60"/>
      <w:ind w:left="610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Болтунова Светлана Сергеевна</cp:lastModifiedBy>
  <cp:revision>3</cp:revision>
  <dcterms:created xsi:type="dcterms:W3CDTF">2022-07-07T09:16:00Z</dcterms:created>
  <dcterms:modified xsi:type="dcterms:W3CDTF">2022-07-07T09:19:00Z</dcterms:modified>
</cp:coreProperties>
</file>